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A9A57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CODAC Health, Recovery, &amp; Wellness, Inc.</w:t>
      </w:r>
    </w:p>
    <w:p w14:paraId="3A8FC82F" w14:textId="658B6F53" w:rsidR="00E25C3E" w:rsidRDefault="00E25C3E" w:rsidP="00E25C3E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380 Clinic/Medication Assisted Treatment (</w:t>
      </w:r>
      <w:r w:rsidR="00C920FD">
        <w:rPr>
          <w:rFonts w:ascii="Calibri-Bold" w:hAnsi="Calibri-Bold" w:cs="Calibri-Bold"/>
          <w:b/>
          <w:bCs/>
          <w:kern w:val="0"/>
          <w:sz w:val="24"/>
          <w:szCs w:val="24"/>
        </w:rPr>
        <w:t>MOUD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)</w:t>
      </w:r>
    </w:p>
    <w:p w14:paraId="38FF7EFA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Comprehensive Patient Care Plan</w:t>
      </w:r>
    </w:p>
    <w:p w14:paraId="3CB716B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Subclass of Agency</w:t>
      </w:r>
    </w:p>
    <w:p w14:paraId="3815D617" w14:textId="77777777" w:rsidR="00C920FD" w:rsidRDefault="00C920FD" w:rsidP="00E25C3E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48FF4EE7" w14:textId="1B594E33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CODAC Health, Recovery &amp; Wellness – 380 Clinic/</w:t>
      </w:r>
      <w:r w:rsidR="00C920FD">
        <w:rPr>
          <w:rFonts w:ascii="Calibri" w:hAnsi="Calibri" w:cs="Calibri"/>
          <w:kern w:val="0"/>
          <w:sz w:val="24"/>
          <w:szCs w:val="24"/>
        </w:rPr>
        <w:t xml:space="preserve"> </w:t>
      </w:r>
      <w:r w:rsidR="00C920FD" w:rsidRPr="00C920FD">
        <w:rPr>
          <w:rFonts w:ascii="Calibri" w:hAnsi="Calibri" w:cs="Calibri"/>
          <w:kern w:val="0"/>
          <w:sz w:val="24"/>
          <w:szCs w:val="24"/>
        </w:rPr>
        <w:t>Medications for opioid use disorder (MOUD)</w:t>
      </w:r>
      <w:r w:rsidR="00C920FD">
        <w:rPr>
          <w:rFonts w:ascii="Calibri" w:hAnsi="Calibri" w:cs="Calibri"/>
          <w:kern w:val="0"/>
          <w:sz w:val="24"/>
          <w:szCs w:val="24"/>
        </w:rPr>
        <w:t xml:space="preserve">  </w:t>
      </w:r>
      <w:r>
        <w:rPr>
          <w:rFonts w:ascii="Calibri" w:hAnsi="Calibri" w:cs="Calibri"/>
          <w:kern w:val="0"/>
          <w:sz w:val="24"/>
          <w:szCs w:val="24"/>
        </w:rPr>
        <w:t>site is</w:t>
      </w:r>
      <w:r w:rsidR="00C920FD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an outpatient clinic subclass of agency that provides </w:t>
      </w:r>
      <w:r w:rsidR="00C920FD" w:rsidRPr="00C920FD">
        <w:rPr>
          <w:rFonts w:ascii="Calibri" w:hAnsi="Calibri" w:cs="Calibri"/>
          <w:kern w:val="0"/>
          <w:sz w:val="24"/>
          <w:szCs w:val="24"/>
        </w:rPr>
        <w:t>Medications for opioid use disorder (MOUD)</w:t>
      </w:r>
      <w:r>
        <w:rPr>
          <w:rFonts w:ascii="Calibri" w:hAnsi="Calibri" w:cs="Calibri"/>
          <w:kern w:val="0"/>
          <w:sz w:val="24"/>
          <w:szCs w:val="24"/>
        </w:rPr>
        <w:t>),</w:t>
      </w:r>
      <w:r w:rsidR="00C920FD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integrated treatment, and case management services to individuals with a primary substance</w:t>
      </w:r>
      <w:r w:rsidR="00C920FD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use diagnosis and who may also have mental health concerns, some of whom are eligible,</w:t>
      </w:r>
      <w:r w:rsidR="00C920FD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under Arizona Department of Health Services (ADHS) guidelines to receive services for serious</w:t>
      </w:r>
      <w:r w:rsidR="00C920FD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mental illness.</w:t>
      </w:r>
    </w:p>
    <w:p w14:paraId="7C69D007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0582DD32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Description of the Agency’s Subclass</w:t>
      </w:r>
    </w:p>
    <w:p w14:paraId="086C828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CODAC’s outpatient clinics are a multi‐disciplinary continuum of community‐based behavioral</w:t>
      </w:r>
    </w:p>
    <w:p w14:paraId="45D789A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health and medical services. Programming is designed to provide individuals with treatment</w:t>
      </w:r>
    </w:p>
    <w:p w14:paraId="78C95A28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and referrals that are solution‐focused, cost effective, and delivered in the least restrictive</w:t>
      </w:r>
    </w:p>
    <w:p w14:paraId="5F94A618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environment possible. Central to CODAC’s philosophy of treatment is the belief in therapy that</w:t>
      </w:r>
    </w:p>
    <w:p w14:paraId="64B4C068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is brief, solution‐focused, and strength‐based, which assists individuals and families in</w:t>
      </w:r>
    </w:p>
    <w:p w14:paraId="05463FE2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developing and strengthening the resources, both inner and environmental, needed to live</w:t>
      </w:r>
    </w:p>
    <w:p w14:paraId="730D7C5E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rewarding lives without depending heavily on professional help. It is recognized, however, that</w:t>
      </w:r>
    </w:p>
    <w:p w14:paraId="676915F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some impairments make ongoing help a necessity. CODAC’s clinics assume the responsibility of</w:t>
      </w:r>
    </w:p>
    <w:p w14:paraId="457D5DDB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providing, or locating that assistance while also using every means possible to enhance the</w:t>
      </w:r>
    </w:p>
    <w:p w14:paraId="75867751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independence of those adults. CODAC members receiving services at this location have access</w:t>
      </w:r>
    </w:p>
    <w:p w14:paraId="6C759941" w14:textId="6FA76369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to a CODAC PCP as well as </w:t>
      </w:r>
      <w:r w:rsidR="005C3B6A">
        <w:rPr>
          <w:rFonts w:ascii="Calibri" w:hAnsi="Calibri" w:cs="Calibri"/>
          <w:kern w:val="0"/>
          <w:sz w:val="24"/>
          <w:szCs w:val="24"/>
        </w:rPr>
        <w:t>Well Woman care</w:t>
      </w:r>
      <w:r>
        <w:rPr>
          <w:rFonts w:ascii="Calibri" w:hAnsi="Calibri" w:cs="Calibri"/>
          <w:kern w:val="0"/>
          <w:sz w:val="24"/>
          <w:szCs w:val="24"/>
        </w:rPr>
        <w:t xml:space="preserve"> services or coordination with their community PCP occurs if</w:t>
      </w:r>
      <w:r w:rsidR="005C3B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they choose to see a community PCP. Laboratory services are available onsite through a third</w:t>
      </w:r>
      <w:r w:rsidR="005C3B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party provider and members may utilize the pharmacy services provided by Genoa pharmacies</w:t>
      </w:r>
      <w:r w:rsidR="005C3B6A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available at other CODAC locations.</w:t>
      </w:r>
    </w:p>
    <w:p w14:paraId="03E0CF6E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768537FD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Principles and Program Goals</w:t>
      </w:r>
    </w:p>
    <w:p w14:paraId="6FC1DBF8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• To assess each individual’s treatment needs and devise, with the individual, a plan of</w:t>
      </w:r>
    </w:p>
    <w:p w14:paraId="7B20AB0E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treatment that will improve the individual’s coping skills. The clinic seeks to</w:t>
      </w:r>
    </w:p>
    <w:p w14:paraId="2F4F42EE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encourage members to maximize their potential and to overcome their challenges.</w:t>
      </w:r>
    </w:p>
    <w:p w14:paraId="0EC76E45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• To reduce and/or cease the use of illicit and unhealthy drug and alcohol use. The</w:t>
      </w:r>
    </w:p>
    <w:p w14:paraId="13DDFD5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clinic seeks to support individuals in their recovery efforts through medication</w:t>
      </w:r>
    </w:p>
    <w:p w14:paraId="464C0BBB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assisted treatment, care coordination, individual and group therapy or skill building,</w:t>
      </w:r>
    </w:p>
    <w:p w14:paraId="6E6ACFB6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peer support, employment services as well as alternative therapies including</w:t>
      </w:r>
    </w:p>
    <w:p w14:paraId="12AF5D99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acupuncture and the development of community support networks.</w:t>
      </w:r>
    </w:p>
    <w:p w14:paraId="6CA68062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• To insure members receive assistance through case management services. Case</w:t>
      </w:r>
    </w:p>
    <w:p w14:paraId="4A982C95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management staff assists the individual in obtaining and coordinating necessary</w:t>
      </w:r>
    </w:p>
    <w:p w14:paraId="4AF32912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social services such as housing, medical care, more intensive substance use</w:t>
      </w:r>
    </w:p>
    <w:p w14:paraId="6D7B6251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treatment where necessary, etc. This coordination of care ensures that the</w:t>
      </w:r>
    </w:p>
    <w:p w14:paraId="3177A1E8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individual receives the necessary services for an improved quality of life.</w:t>
      </w:r>
    </w:p>
    <w:p w14:paraId="558B0B16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• To provide short‐term, solution‐focused treatment, where possible, that will</w:t>
      </w:r>
    </w:p>
    <w:p w14:paraId="5235219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expedite an individual’s recovery. The goal is to optimize the individual’s mental and</w:t>
      </w:r>
    </w:p>
    <w:p w14:paraId="5B57369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lastRenderedPageBreak/>
        <w:t>physical health.</w:t>
      </w:r>
    </w:p>
    <w:p w14:paraId="3BD6EFD0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• To improve and build family and community relationships. The clinic, when possible,</w:t>
      </w:r>
    </w:p>
    <w:p w14:paraId="3FBAE30B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encourages members to appropriately reconnect with family for support during</w:t>
      </w:r>
    </w:p>
    <w:p w14:paraId="7FA4E6B9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crisis, as well as develop a strong social network to promote social well‐being.</w:t>
      </w:r>
    </w:p>
    <w:p w14:paraId="74343D37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• To increase self‐determination by engaging members in furthering their schooling,</w:t>
      </w:r>
    </w:p>
    <w:p w14:paraId="131D6A7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developing employment skills and gaining employment, or acquiring volunteer</w:t>
      </w:r>
    </w:p>
    <w:p w14:paraId="6A8AC221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opportunities in the community.</w:t>
      </w:r>
    </w:p>
    <w:p w14:paraId="684656D5" w14:textId="06A7233A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• In </w:t>
      </w:r>
      <w:r w:rsidR="00C920FD">
        <w:rPr>
          <w:rFonts w:ascii="Calibri" w:hAnsi="Calibri" w:cs="Calibri"/>
          <w:kern w:val="0"/>
          <w:sz w:val="24"/>
          <w:szCs w:val="24"/>
        </w:rPr>
        <w:t>MOUD</w:t>
      </w:r>
      <w:r>
        <w:rPr>
          <w:rFonts w:ascii="Calibri" w:hAnsi="Calibri" w:cs="Calibri"/>
          <w:kern w:val="0"/>
          <w:sz w:val="24"/>
          <w:szCs w:val="24"/>
        </w:rPr>
        <w:t xml:space="preserve"> services, there is the opportunity for members who request, and who meet</w:t>
      </w:r>
    </w:p>
    <w:p w14:paraId="6D7E2A54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the criteria, to build take home privileges, which allow members more</w:t>
      </w:r>
    </w:p>
    <w:p w14:paraId="1C2AC98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independence from the program.</w:t>
      </w:r>
    </w:p>
    <w:p w14:paraId="308156C5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• To resolve warrants and other legal issues, cease involvement in criminal activity,</w:t>
      </w:r>
    </w:p>
    <w:p w14:paraId="6CEA9589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and restore civil rights</w:t>
      </w:r>
    </w:p>
    <w:p w14:paraId="7E779E07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• To reduce the incidence of HIV/AIDS and other communicable diseases through</w:t>
      </w:r>
    </w:p>
    <w:p w14:paraId="4DF67D16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education, therapy, and changes in lifestyle.</w:t>
      </w:r>
    </w:p>
    <w:p w14:paraId="0429894A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• To promote health and wellness by engaging members in primary preventative</w:t>
      </w:r>
    </w:p>
    <w:p w14:paraId="48849C9F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medical care and encouraging members to address ongoing medical issues.</w:t>
      </w:r>
    </w:p>
    <w:p w14:paraId="22795735" w14:textId="5DAA5879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• To promote healthy babies and healthy women through the provision of </w:t>
      </w:r>
      <w:r w:rsidR="005C3B6A">
        <w:rPr>
          <w:rFonts w:ascii="Calibri" w:hAnsi="Calibri" w:cs="Calibri"/>
          <w:kern w:val="0"/>
          <w:sz w:val="24"/>
          <w:szCs w:val="24"/>
        </w:rPr>
        <w:t>Well Woman care</w:t>
      </w:r>
    </w:p>
    <w:p w14:paraId="24133EC2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services on‐site addressing women’s health and pre‐natal care.</w:t>
      </w:r>
    </w:p>
    <w:p w14:paraId="3DC839B5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115B5C4A" w14:textId="5B99A6F8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Description of </w:t>
      </w:r>
      <w:r w:rsidR="00C920FD">
        <w:rPr>
          <w:rFonts w:ascii="Calibri-Bold" w:hAnsi="Calibri-Bold" w:cs="Calibri-Bold"/>
          <w:b/>
          <w:bCs/>
          <w:kern w:val="0"/>
          <w:sz w:val="24"/>
          <w:szCs w:val="24"/>
        </w:rPr>
        <w:t>MOUD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 Services</w:t>
      </w:r>
    </w:p>
    <w:p w14:paraId="78F0451E" w14:textId="1D77F594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1) Medication Assisted Treatment (</w:t>
      </w:r>
      <w:r w:rsidR="00C920FD">
        <w:rPr>
          <w:rFonts w:ascii="Calibri" w:hAnsi="Calibri" w:cs="Calibri"/>
          <w:kern w:val="0"/>
          <w:sz w:val="24"/>
          <w:szCs w:val="24"/>
        </w:rPr>
        <w:t>MOUD</w:t>
      </w:r>
      <w:r>
        <w:rPr>
          <w:rFonts w:ascii="Calibri" w:hAnsi="Calibri" w:cs="Calibri"/>
          <w:kern w:val="0"/>
          <w:sz w:val="24"/>
          <w:szCs w:val="24"/>
        </w:rPr>
        <w:t>) (methadone, buprenorphine (Suboxone,</w:t>
      </w:r>
    </w:p>
    <w:p w14:paraId="5227A54D" w14:textId="77777777" w:rsidR="000E5859" w:rsidRPr="000E5859" w:rsidRDefault="00E25C3E" w:rsidP="000E58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Subutex), naltrexone (Vivitrol, ReVia))</w:t>
      </w:r>
      <w:r w:rsidR="000E5859">
        <w:rPr>
          <w:rFonts w:ascii="Calibri" w:hAnsi="Calibri" w:cs="Calibri"/>
          <w:kern w:val="0"/>
          <w:sz w:val="24"/>
          <w:szCs w:val="24"/>
        </w:rPr>
        <w:t xml:space="preserve">; </w:t>
      </w:r>
      <w:r w:rsidR="000E5859" w:rsidRPr="000E5859">
        <w:rPr>
          <w:rFonts w:ascii="Calibri" w:hAnsi="Calibri" w:cs="Calibri"/>
          <w:kern w:val="0"/>
          <w:sz w:val="24"/>
          <w:szCs w:val="24"/>
        </w:rPr>
        <w:t>Sublocade and Brixadi (injectable buprenorphine)</w:t>
      </w:r>
    </w:p>
    <w:p w14:paraId="5964A3A4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2) Vocational/employment services</w:t>
      </w:r>
    </w:p>
    <w:p w14:paraId="04E6C337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3) Health promotion</w:t>
      </w:r>
    </w:p>
    <w:p w14:paraId="23DBD964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4) Counseling</w:t>
      </w:r>
    </w:p>
    <w:p w14:paraId="442FA4F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5) Medication services</w:t>
      </w:r>
    </w:p>
    <w:p w14:paraId="72D7CD06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6) Assistance in the self‐administration of medication</w:t>
      </w:r>
    </w:p>
    <w:p w14:paraId="5BE15BB6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7) Court‐Ordered Treatment</w:t>
      </w:r>
    </w:p>
    <w:p w14:paraId="6F882AC2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8) Substance Use Disorder treatment including Opioid Use Disorder treatment</w:t>
      </w:r>
    </w:p>
    <w:p w14:paraId="55DD45EB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9) Case management</w:t>
      </w:r>
    </w:p>
    <w:p w14:paraId="24D0228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10) Peer support</w:t>
      </w:r>
    </w:p>
    <w:p w14:paraId="5FC8C2C5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11) Behavioral Health Services</w:t>
      </w:r>
    </w:p>
    <w:p w14:paraId="33E4EED6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12) Alternative therapies (acupuncture)</w:t>
      </w:r>
    </w:p>
    <w:p w14:paraId="4480FC87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70AB5777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Medication Assisted Addiction Treatment</w:t>
      </w:r>
    </w:p>
    <w:p w14:paraId="78475442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CODAC’s 380 location operates as the Medication Assisted Treatment Center of Excellence</w:t>
      </w:r>
    </w:p>
    <w:p w14:paraId="637854B2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(COE) for Pima County and the Southern Arizona region. Services are available 24 hours per day,</w:t>
      </w:r>
    </w:p>
    <w:p w14:paraId="1A562016" w14:textId="2C981038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7 days per week to facilitate engagement in M</w:t>
      </w:r>
      <w:r w:rsidR="00C920FD">
        <w:rPr>
          <w:rFonts w:ascii="Calibri" w:hAnsi="Calibri" w:cs="Calibri"/>
          <w:kern w:val="0"/>
          <w:sz w:val="24"/>
          <w:szCs w:val="24"/>
        </w:rPr>
        <w:t>OUD</w:t>
      </w:r>
      <w:r>
        <w:rPr>
          <w:rFonts w:ascii="Calibri" w:hAnsi="Calibri" w:cs="Calibri"/>
          <w:kern w:val="0"/>
          <w:sz w:val="24"/>
          <w:szCs w:val="24"/>
        </w:rPr>
        <w:t xml:space="preserve"> services to those people demonstrating a</w:t>
      </w:r>
    </w:p>
    <w:p w14:paraId="7519A349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need. The intent is to provide treatment on demand for individuals who make the decision to</w:t>
      </w:r>
    </w:p>
    <w:p w14:paraId="739A29AB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change their lives.</w:t>
      </w:r>
    </w:p>
    <w:p w14:paraId="375BC851" w14:textId="77777777" w:rsidR="005C3B6A" w:rsidRDefault="005C3B6A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7C3D7297" w14:textId="170FD14F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The COE is intended to be the hub for </w:t>
      </w:r>
      <w:r w:rsidR="005C3B6A">
        <w:rPr>
          <w:rFonts w:ascii="Calibri" w:hAnsi="Calibri" w:cs="Calibri"/>
          <w:kern w:val="0"/>
          <w:sz w:val="24"/>
          <w:szCs w:val="24"/>
        </w:rPr>
        <w:t>community-based</w:t>
      </w:r>
      <w:r>
        <w:rPr>
          <w:rFonts w:ascii="Calibri" w:hAnsi="Calibri" w:cs="Calibri"/>
          <w:kern w:val="0"/>
          <w:sz w:val="24"/>
          <w:szCs w:val="24"/>
        </w:rPr>
        <w:t xml:space="preserve"> treatment efforts to address opioid</w:t>
      </w:r>
    </w:p>
    <w:p w14:paraId="5C61F33B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dependence. The COE provides 24 hour per day access to intake assessment, member/family</w:t>
      </w:r>
    </w:p>
    <w:p w14:paraId="34BCF95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education on treatment options and availability, referral to on‐going services, peer support,</w:t>
      </w:r>
    </w:p>
    <w:p w14:paraId="50B5A54A" w14:textId="226ED3BD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lastRenderedPageBreak/>
        <w:t xml:space="preserve">induction to </w:t>
      </w:r>
      <w:r w:rsidR="00C920FD">
        <w:rPr>
          <w:rFonts w:ascii="Calibri" w:hAnsi="Calibri" w:cs="Calibri"/>
          <w:kern w:val="0"/>
          <w:sz w:val="24"/>
          <w:szCs w:val="24"/>
        </w:rPr>
        <w:t>MOUD</w:t>
      </w:r>
      <w:r>
        <w:rPr>
          <w:rFonts w:ascii="Calibri" w:hAnsi="Calibri" w:cs="Calibri"/>
          <w:kern w:val="0"/>
          <w:sz w:val="24"/>
          <w:szCs w:val="24"/>
        </w:rPr>
        <w:t xml:space="preserve"> medications and behavioral treatments in addition to medications. In</w:t>
      </w:r>
    </w:p>
    <w:p w14:paraId="6392F44D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addition CODAC medical staff is available to consult community hospital emergency</w:t>
      </w:r>
    </w:p>
    <w:p w14:paraId="17B327CF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departments, first responders and crisis staff as a resource to assist in making appropriate</w:t>
      </w:r>
    </w:p>
    <w:p w14:paraId="4F0AF10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treatment decisions.</w:t>
      </w:r>
    </w:p>
    <w:p w14:paraId="71CCDE7F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The Center of Excellence also functions as a community drop‐in center for first responders, law</w:t>
      </w:r>
    </w:p>
    <w:p w14:paraId="5B80A93E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enforcement, members and families in order to provide a safe haven for individuals who</w:t>
      </w:r>
    </w:p>
    <w:p w14:paraId="71E99A25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experience an opioid use disorder and are ready for treatment. The intent is to divert</w:t>
      </w:r>
    </w:p>
    <w:p w14:paraId="29CB697D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individuals from more costly visits to emergency departments and reduce unnecessary</w:t>
      </w:r>
    </w:p>
    <w:p w14:paraId="7B9AB78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incarceration. In addition assistance will be provided to individuals to navigate successfully into</w:t>
      </w:r>
    </w:p>
    <w:p w14:paraId="79807F9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treatment programs to ensure a higher retention in services.</w:t>
      </w:r>
    </w:p>
    <w:p w14:paraId="116BED6E" w14:textId="77777777" w:rsidR="00D945DF" w:rsidRDefault="00D945DF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51AB2536" w14:textId="5D1A0AAA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CODAC’s 380 ‐ </w:t>
      </w:r>
      <w:r w:rsidR="00C920FD">
        <w:rPr>
          <w:rFonts w:ascii="Calibri" w:hAnsi="Calibri" w:cs="Calibri"/>
          <w:kern w:val="0"/>
          <w:sz w:val="24"/>
          <w:szCs w:val="24"/>
        </w:rPr>
        <w:t>MOUD</w:t>
      </w:r>
      <w:r>
        <w:rPr>
          <w:rFonts w:ascii="Calibri" w:hAnsi="Calibri" w:cs="Calibri"/>
          <w:kern w:val="0"/>
          <w:sz w:val="24"/>
          <w:szCs w:val="24"/>
        </w:rPr>
        <w:t xml:space="preserve"> services clinic offers methadone buprenorphine and naltrexone</w:t>
      </w:r>
    </w:p>
    <w:p w14:paraId="2DBF575E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medication‐based treatment of opiate addiction to individuals who are assessed to meet the</w:t>
      </w:r>
    </w:p>
    <w:p w14:paraId="20878751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criteria for opioid dependence. Naloxone is available to members and families who request it as</w:t>
      </w:r>
    </w:p>
    <w:p w14:paraId="0A5F03E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 part of overdose prevention.</w:t>
      </w:r>
    </w:p>
    <w:p w14:paraId="77456F6B" w14:textId="77777777" w:rsidR="00D945DF" w:rsidRDefault="00D945DF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7A2631DF" w14:textId="7091E79F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Members who request </w:t>
      </w:r>
      <w:r w:rsidR="00C920FD">
        <w:rPr>
          <w:rFonts w:ascii="Calibri" w:hAnsi="Calibri" w:cs="Calibri"/>
          <w:kern w:val="0"/>
          <w:sz w:val="24"/>
          <w:szCs w:val="24"/>
        </w:rPr>
        <w:t>MOUD</w:t>
      </w:r>
      <w:r>
        <w:rPr>
          <w:rFonts w:ascii="Calibri" w:hAnsi="Calibri" w:cs="Calibri"/>
          <w:kern w:val="0"/>
          <w:sz w:val="24"/>
          <w:szCs w:val="24"/>
        </w:rPr>
        <w:t xml:space="preserve"> services are assessed as to their substance use history by</w:t>
      </w:r>
    </w:p>
    <w:p w14:paraId="2654409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experienced clinicians who utilize assessment tools including the ASAM 3 assessment criteria.</w:t>
      </w:r>
    </w:p>
    <w:p w14:paraId="093F593F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The data from the assessment is reviewed with the prescriber or BMHP who specializes in</w:t>
      </w:r>
    </w:p>
    <w:p w14:paraId="5E4F7EAE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addiction treatment. The BMHP in collaboration with the member determines which</w:t>
      </w:r>
    </w:p>
    <w:p w14:paraId="2ABBCD47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medication, if any, the member will be offered induction to, taking into consideration both the</w:t>
      </w:r>
    </w:p>
    <w:p w14:paraId="01BEDE22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member choice of program and the assessment findings. Whenever possible the induction will</w:t>
      </w:r>
    </w:p>
    <w:p w14:paraId="125C80D1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occur at the time of assessment. For members choosing to utilize naltrexone or buprenorphine</w:t>
      </w:r>
    </w:p>
    <w:p w14:paraId="01C689D4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the induction may be delayed in order to avoid precipitated withdrawal and assure member</w:t>
      </w:r>
    </w:p>
    <w:p w14:paraId="38A24177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safety.</w:t>
      </w:r>
    </w:p>
    <w:p w14:paraId="7C7D6140" w14:textId="77777777" w:rsidR="00D945DF" w:rsidRDefault="00D945DF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43B63598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Those members who are prescribed methadone will dose daily for at least 90 days. To assure</w:t>
      </w:r>
    </w:p>
    <w:p w14:paraId="4032DE0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member safety to dose, at presentation each member will be assessed by the dosing nurse. The</w:t>
      </w:r>
    </w:p>
    <w:p w14:paraId="7A7BF21A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nurse will assess gait, speech, appearance for indication that member is potentially under the</w:t>
      </w:r>
    </w:p>
    <w:p w14:paraId="0003C78F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influence. Members may be asked to provide a breathalyzer sample if alcohol use is suspected.</w:t>
      </w:r>
    </w:p>
    <w:p w14:paraId="2C0B7305" w14:textId="3716CE64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If a member is suspected to be under the </w:t>
      </w:r>
      <w:r w:rsidR="00D945DF">
        <w:rPr>
          <w:rFonts w:ascii="Calibri" w:hAnsi="Calibri" w:cs="Calibri"/>
          <w:kern w:val="0"/>
          <w:sz w:val="24"/>
          <w:szCs w:val="24"/>
        </w:rPr>
        <w:t>influence,</w:t>
      </w:r>
      <w:r>
        <w:rPr>
          <w:rFonts w:ascii="Calibri" w:hAnsi="Calibri" w:cs="Calibri"/>
          <w:kern w:val="0"/>
          <w:sz w:val="24"/>
          <w:szCs w:val="24"/>
        </w:rPr>
        <w:t xml:space="preserve"> they will be asked to complete a</w:t>
      </w:r>
    </w:p>
    <w:p w14:paraId="4E4857E4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urine screen prior to dosing. If the urine screen is unfavorable members will need to be cleared</w:t>
      </w:r>
    </w:p>
    <w:p w14:paraId="48609BA9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by the BHMP before dosing. If there is a risk of adverse interactions the member may not be</w:t>
      </w:r>
    </w:p>
    <w:p w14:paraId="3D406BAD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dosed that day.</w:t>
      </w:r>
    </w:p>
    <w:p w14:paraId="7AAB993B" w14:textId="77777777" w:rsidR="00D945DF" w:rsidRDefault="00D945DF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6B6F980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Take home privileges reducing the number of times per week a member must present to the</w:t>
      </w:r>
    </w:p>
    <w:p w14:paraId="3328FA26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clinic for dosing will be earned according to the federal regulations published by the Substance</w:t>
      </w:r>
    </w:p>
    <w:p w14:paraId="46114BF6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Abuse and Mental Health Services Administration and enforced by the Drug Enforcement</w:t>
      </w:r>
    </w:p>
    <w:p w14:paraId="024F5D18" w14:textId="333BCE43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Agency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(DEA)</w:t>
      </w:r>
      <w:r>
        <w:rPr>
          <w:rFonts w:ascii="Calibri" w:hAnsi="Calibri" w:cs="Calibri"/>
          <w:kern w:val="0"/>
          <w:sz w:val="24"/>
          <w:szCs w:val="24"/>
        </w:rPr>
        <w:t>.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Members who are inducted to buprenorphine will present to the clinic weekly initially to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receive a weekly prescription. An appointment with the prescribing medical professional is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required at a minimum of once per month. Naltrexone/Vivitrol is administered as a monthly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injection. Individuals prescribed this medication will be seen once per month by the medical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staff. Regardless of the medication prescribed, all members are expected to engage in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behavioral treatment programs as defined in their Individual Service Plan.</w:t>
      </w:r>
    </w:p>
    <w:p w14:paraId="37B6BE83" w14:textId="57630FA2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lastRenderedPageBreak/>
        <w:t xml:space="preserve">Additionally, the CODAC‐380 </w:t>
      </w:r>
      <w:r w:rsidR="00C920FD">
        <w:rPr>
          <w:rFonts w:ascii="Calibri" w:hAnsi="Calibri" w:cs="Calibri"/>
          <w:kern w:val="0"/>
          <w:sz w:val="24"/>
          <w:szCs w:val="24"/>
        </w:rPr>
        <w:t>MOUD</w:t>
      </w:r>
      <w:r>
        <w:rPr>
          <w:rFonts w:ascii="Calibri" w:hAnsi="Calibri" w:cs="Calibri"/>
          <w:kern w:val="0"/>
          <w:sz w:val="24"/>
          <w:szCs w:val="24"/>
        </w:rPr>
        <w:t xml:space="preserve"> program can also enter members into outpatient withdrawal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management detox services for opioid dependence. Members will be assessed by a licensed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clinician who specializes in addiction medicine for appropriateness for the service. If the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member is found appropriate for withdrawal management services, they will be enrolled in a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regimen of daily engagement and assessment. The member will be inducted on methadone,</w:t>
      </w:r>
    </w:p>
    <w:p w14:paraId="78B77DC1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and then tapered off completely over a period to not exceed 180 days. Members will also be</w:t>
      </w:r>
    </w:p>
    <w:p w14:paraId="326050F9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able to transition to a maintenance program if it is determined medically necessary during the</w:t>
      </w:r>
    </w:p>
    <w:p w14:paraId="340F1DAD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withdrawal management period. These services will be conducted under the supervision of the</w:t>
      </w:r>
    </w:p>
    <w:p w14:paraId="42F238AF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medical director and appropriately licensed medical staff.</w:t>
      </w:r>
    </w:p>
    <w:p w14:paraId="64F5E15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61756C50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Counseling Services</w:t>
      </w:r>
    </w:p>
    <w:p w14:paraId="70C911A0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Master’s level therapists provide individual, group, family, and couples therapy. Intensive</w:t>
      </w:r>
    </w:p>
    <w:p w14:paraId="6CB61BC9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Outpatient Programs and standard outpatient treatment groups including peer led groups are</w:t>
      </w:r>
    </w:p>
    <w:p w14:paraId="2154E72E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also available on site for members who engage in services at 380. To the extent possible the</w:t>
      </w:r>
    </w:p>
    <w:p w14:paraId="51359E9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380 program offers members a “one stop shop” allowing engagement in all treatment services</w:t>
      </w:r>
    </w:p>
    <w:p w14:paraId="1112AAC7" w14:textId="38993CAC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at the same location they receive their medications. If members’ </w:t>
      </w:r>
      <w:r w:rsidR="00D945DF">
        <w:rPr>
          <w:rFonts w:ascii="Calibri" w:hAnsi="Calibri" w:cs="Calibri"/>
          <w:kern w:val="0"/>
          <w:sz w:val="24"/>
          <w:szCs w:val="24"/>
        </w:rPr>
        <w:t>prefer,</w:t>
      </w:r>
      <w:r>
        <w:rPr>
          <w:rFonts w:ascii="Calibri" w:hAnsi="Calibri" w:cs="Calibri"/>
          <w:kern w:val="0"/>
          <w:sz w:val="24"/>
          <w:szCs w:val="24"/>
        </w:rPr>
        <w:t xml:space="preserve"> they will be referred to</w:t>
      </w:r>
    </w:p>
    <w:p w14:paraId="142E618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programs at either other CODAC locations or other agencies. If a member is referred out</w:t>
      </w:r>
    </w:p>
    <w:p w14:paraId="5260F5C0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treatment engagement and progress will be monitored by the assigned CODAC case</w:t>
      </w:r>
    </w:p>
    <w:p w14:paraId="6CC0A1EF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management provider and will follow Cln‐Services‐140‐Referral to Services Policy</w:t>
      </w:r>
    </w:p>
    <w:p w14:paraId="16905471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3511503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Type of Counseling</w:t>
      </w:r>
    </w:p>
    <w:p w14:paraId="743E9076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Each member entering a CODAC outpatient clinic receives a comprehensive assessment and an</w:t>
      </w:r>
    </w:p>
    <w:p w14:paraId="1F38FA34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individualized treatment plan to guide the course of treatment. At the 380 clinic, every member</w:t>
      </w:r>
    </w:p>
    <w:p w14:paraId="67E34FC4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with an opioid use disorder diagnosis is offered a form of medication‐assisted treatment and</w:t>
      </w:r>
    </w:p>
    <w:p w14:paraId="1677F8DC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receives case management services. Members have group, individual and family therapy and</w:t>
      </w:r>
    </w:p>
    <w:p w14:paraId="1392BD8E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counseling services available to them as well. Group therapy encompasses process/therapy and</w:t>
      </w:r>
    </w:p>
    <w:p w14:paraId="7F7EBBCF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education. CODAC offers groups that focus on general mental health, women’s and men’s</w:t>
      </w:r>
    </w:p>
    <w:p w14:paraId="3BF8027D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issues, anxiety and anger management, parenting, stress management, wellness, substance</w:t>
      </w:r>
    </w:p>
    <w:p w14:paraId="34844CDA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abuse, and trauma. Groups are strongly encouraged in the acute and stabilization phase of</w:t>
      </w:r>
    </w:p>
    <w:p w14:paraId="5285200F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treatment, and may be required as a condition of treatment on an individualized basis.</w:t>
      </w:r>
    </w:p>
    <w:p w14:paraId="582BC99F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CODAC ‐ 380 provides a variety of treatment modalities to meet the current recovery needs of</w:t>
      </w:r>
    </w:p>
    <w:p w14:paraId="22E2C15D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the member. The WRAP group engages members in developing their own recovery and</w:t>
      </w:r>
    </w:p>
    <w:p w14:paraId="7020D62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wellness plan. The SMART Recovery group assists members who are in the early stages of</w:t>
      </w:r>
    </w:p>
    <w:p w14:paraId="36C3F640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recovery with a place to explore reasons they might consider further reduce their substance</w:t>
      </w:r>
    </w:p>
    <w:p w14:paraId="16CAC0B5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use. Relapse Prevention group assists members in maintaining a drug‐free lifestyle, coping with</w:t>
      </w:r>
    </w:p>
    <w:p w14:paraId="7B4F8FDB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relapse, and further expanding their recovery. Individual and family therapy are provided as</w:t>
      </w:r>
    </w:p>
    <w:p w14:paraId="364EB5ED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needed. Given the preponderance of polysubstance use within the membership, CODAC ‐380</w:t>
      </w:r>
    </w:p>
    <w:p w14:paraId="04A61832" w14:textId="28529842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offers programs such as the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Matrix</w:t>
      </w:r>
      <w:r>
        <w:rPr>
          <w:rFonts w:ascii="Calibri" w:hAnsi="Calibri" w:cs="Calibri"/>
          <w:kern w:val="0"/>
          <w:sz w:val="24"/>
          <w:szCs w:val="24"/>
        </w:rPr>
        <w:t xml:space="preserve"> Model of substance use treatment, Seeking Safety and the</w:t>
      </w:r>
    </w:p>
    <w:p w14:paraId="72FAFA7F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Women in Recovery Program to address all substance misuse related concerns.</w:t>
      </w:r>
    </w:p>
    <w:p w14:paraId="4CF352F4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2168CD27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Amount of Counseling Offered Each Week</w:t>
      </w:r>
    </w:p>
    <w:p w14:paraId="4C93241D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The therapeutic groups described above occur on a weekly basis. Intensive Outpatient</w:t>
      </w:r>
    </w:p>
    <w:p w14:paraId="43DD494C" w14:textId="7EB6E935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Programs require a minimum of 9 hours per week of participation. At </w:t>
      </w:r>
      <w:r w:rsidR="00C920FD">
        <w:rPr>
          <w:rFonts w:ascii="Calibri" w:hAnsi="Calibri" w:cs="Calibri"/>
          <w:kern w:val="0"/>
          <w:sz w:val="24"/>
          <w:szCs w:val="24"/>
        </w:rPr>
        <w:t>MOUD</w:t>
      </w:r>
      <w:r>
        <w:rPr>
          <w:rFonts w:ascii="Calibri" w:hAnsi="Calibri" w:cs="Calibri"/>
          <w:kern w:val="0"/>
          <w:sz w:val="24"/>
          <w:szCs w:val="24"/>
        </w:rPr>
        <w:t>, there are groups</w:t>
      </w:r>
    </w:p>
    <w:p w14:paraId="1B51BD81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offered six days per week. Individual, couples, and family counseling are provided on site as</w:t>
      </w:r>
    </w:p>
    <w:p w14:paraId="29DFCFFD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lastRenderedPageBreak/>
        <w:t>determined by each member’s Adult Recovery Team.</w:t>
      </w:r>
    </w:p>
    <w:p w14:paraId="11834068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0A3AD363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Medication Services</w:t>
      </w:r>
    </w:p>
    <w:p w14:paraId="0DCC3278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CODAC provides psychiatric consultation, assessments, and medication adjustment and</w:t>
      </w:r>
    </w:p>
    <w:p w14:paraId="6DB8CD3A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monitoring utilizing psychiatrist and psychiatric nurse practitioners or physician assistants. To</w:t>
      </w:r>
    </w:p>
    <w:p w14:paraId="65A62DA4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accommodate 24/7 services Behavioral Health Medical Professional services are available at all</w:t>
      </w:r>
    </w:p>
    <w:p w14:paraId="3331EB48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hours on an on‐call basis to assure members needs are met timely. Nursing staff are available</w:t>
      </w:r>
    </w:p>
    <w:p w14:paraId="1D1C08EB" w14:textId="77777777" w:rsidR="00E25C3E" w:rsidRDefault="00E25C3E" w:rsidP="00E25C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on‐site 24 hours per day to provide triage, health promotion and nursing assessments to those</w:t>
      </w:r>
    </w:p>
    <w:p w14:paraId="09D98AC7" w14:textId="5D8B44BA" w:rsidR="00D360B7" w:rsidRDefault="00E25C3E" w:rsidP="00D945DF">
      <w:pPr>
        <w:autoSpaceDE w:val="0"/>
        <w:autoSpaceDN w:val="0"/>
        <w:adjustRightInd w:val="0"/>
        <w:spacing w:after="0" w:line="240" w:lineRule="auto"/>
      </w:pPr>
      <w:r>
        <w:rPr>
          <w:rFonts w:ascii="Calibri" w:hAnsi="Calibri" w:cs="Calibri"/>
          <w:kern w:val="0"/>
          <w:sz w:val="24"/>
          <w:szCs w:val="24"/>
        </w:rPr>
        <w:t xml:space="preserve">in need. At </w:t>
      </w:r>
      <w:r w:rsidR="00C920FD">
        <w:rPr>
          <w:rFonts w:ascii="Calibri" w:hAnsi="Calibri" w:cs="Calibri"/>
          <w:kern w:val="0"/>
          <w:sz w:val="24"/>
          <w:szCs w:val="24"/>
        </w:rPr>
        <w:t>MOUD</w:t>
      </w:r>
      <w:r>
        <w:rPr>
          <w:rFonts w:ascii="Calibri" w:hAnsi="Calibri" w:cs="Calibri"/>
          <w:kern w:val="0"/>
          <w:sz w:val="24"/>
          <w:szCs w:val="24"/>
        </w:rPr>
        <w:t>, the BMHPs also specialize in addiction. To those members taking advantage of</w:t>
      </w:r>
      <w:r w:rsidR="00D945DF"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CODAC primary care and </w:t>
      </w:r>
      <w:r w:rsidR="005C3B6A">
        <w:rPr>
          <w:rFonts w:ascii="Calibri" w:hAnsi="Calibri" w:cs="Calibri"/>
          <w:kern w:val="0"/>
          <w:sz w:val="24"/>
          <w:szCs w:val="24"/>
        </w:rPr>
        <w:t>Well Woman Care</w:t>
      </w:r>
      <w:r>
        <w:rPr>
          <w:rFonts w:ascii="Calibri" w:hAnsi="Calibri" w:cs="Calibri"/>
          <w:kern w:val="0"/>
          <w:sz w:val="24"/>
          <w:szCs w:val="24"/>
        </w:rPr>
        <w:t xml:space="preserve"> services on‐call medical staff are available as well</w:t>
      </w:r>
    </w:p>
    <w:sectPr w:rsidR="00D360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C3E"/>
    <w:rsid w:val="000E5859"/>
    <w:rsid w:val="005C3B6A"/>
    <w:rsid w:val="00BA4987"/>
    <w:rsid w:val="00C920FD"/>
    <w:rsid w:val="00D360B7"/>
    <w:rsid w:val="00D945DF"/>
    <w:rsid w:val="00E2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89A76"/>
  <w15:chartTrackingRefBased/>
  <w15:docId w15:val="{30FE2D77-063F-4EC8-BDD1-34CB89B0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5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5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5C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5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5C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5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5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5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5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5C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5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25C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5C3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5C3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5C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5C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5C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5C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5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5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5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5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5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5C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5C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5C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5C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5C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5C3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920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20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ACA8A638-ABB0-439D-8246-A58984F24426}"/>
</file>

<file path=customXml/itemProps2.xml><?xml version="1.0" encoding="utf-8"?>
<ds:datastoreItem xmlns:ds="http://schemas.openxmlformats.org/officeDocument/2006/customXml" ds:itemID="{ACF74AC5-83D6-4185-8BE5-E4A4AAD24207}"/>
</file>

<file path=customXml/itemProps3.xml><?xml version="1.0" encoding="utf-8"?>
<ds:datastoreItem xmlns:ds="http://schemas.openxmlformats.org/officeDocument/2006/customXml" ds:itemID="{D1FD5E68-1AA4-4AD7-9E5A-2D65CB645C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1945</Words>
  <Characters>11088</Characters>
  <Application>Microsoft Office Word</Application>
  <DocSecurity>0</DocSecurity>
  <Lines>92</Lines>
  <Paragraphs>26</Paragraphs>
  <ScaleCrop>false</ScaleCrop>
  <Company/>
  <LinksUpToDate>false</LinksUpToDate>
  <CharactersWithSpaces>13007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Muñoz</dc:creator>
  <cp:keywords/>
  <dc:description/>
  <cp:lastModifiedBy>Amy Muñoz</cp:lastModifiedBy>
  <cp:revision>5</cp:revision>
  <dcterms:created xsi:type="dcterms:W3CDTF">2024-11-12T23:43:00Z</dcterms:created>
  <dcterms:modified xsi:type="dcterms:W3CDTF">2024-11-12T23:52:00Z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